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8F5B9F" w:rsidR="008F5B9F" w:rsidP="62E2E362" w:rsidRDefault="008F5B9F" w14:paraId="2CF4968E" w14:noSpellErr="1" w14:textId="681A21FD">
      <w:pPr>
        <w:pStyle w:val="Normal"/>
        <w:spacing w:after="160" w:line="259" w:lineRule="auto"/>
        <w:jc w:val="left"/>
        <w:rPr>
          <w:rFonts w:ascii="Calibri" w:hAnsi="Calibri" w:eastAsia="Yu Mincho" w:cs="Arial"/>
          <w:b w:val="1"/>
          <w:bCs w:val="1"/>
          <w:color w:val="333333"/>
          <w:lang w:val="en-US"/>
        </w:rPr>
      </w:pPr>
      <w:r w:rsidRPr="6B2EFAD5" w:rsidR="5802AEA7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>Figure</w:t>
      </w:r>
      <w:r w:rsidRPr="6B2EFAD5" w:rsidR="0D4DD1EA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3</w:t>
      </w:r>
      <w:r w:rsidRPr="6B2EFAD5" w:rsidR="008F5B9F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. </w:t>
      </w:r>
      <w:r w:rsidRPr="6B2EFAD5" w:rsidR="008F5B9F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Association between SARS-CoV-2 exposure and maternal, pregnancy, perinatal, neonatal, and postpartum outcomes. Results are presented for the overall population (gray), the population restricted to pre-Omicron cases (coral), and the population restricted to Omicron cases (teal). Dots </w:t>
      </w:r>
      <w:r w:rsidRPr="6B2EFAD5" w:rsidR="008F5B9F">
        <w:rPr>
          <w:rFonts w:ascii="Calibri" w:hAnsi="Calibri" w:eastAsia="Calibri" w:cs="Arial"/>
          <w:color w:val="auto"/>
          <w:sz w:val="22"/>
          <w:szCs w:val="22"/>
          <w:lang w:val="en-US"/>
        </w:rPr>
        <w:t>indicate</w:t>
      </w:r>
      <w:r w:rsidRPr="6B2EFAD5" w:rsidR="008F5B9F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 point estimates, and horizontal lines </w:t>
      </w:r>
      <w:r w:rsidRPr="6B2EFAD5" w:rsidR="008F5B9F">
        <w:rPr>
          <w:rFonts w:ascii="Calibri" w:hAnsi="Calibri" w:eastAsia="Calibri" w:cs="Arial"/>
          <w:color w:val="auto"/>
          <w:sz w:val="22"/>
          <w:szCs w:val="22"/>
          <w:lang w:val="en-US"/>
        </w:rPr>
        <w:t>represent</w:t>
      </w:r>
      <w:r w:rsidRPr="6B2EFAD5" w:rsidR="008F5B9F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 95% confidence intervals. Models were adjusted for maternal age and the number of underlying conditions.</w:t>
      </w:r>
      <w:r w:rsidR="008F5B9F">
        <w:drawing>
          <wp:inline wp14:editId="4ADA0FBA" wp14:anchorId="43EEE234">
            <wp:extent cx="4271552" cy="7858688"/>
            <wp:effectExtent l="0" t="0" r="0" b="0"/>
            <wp:docPr id="2111695730" name="Picture 3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0">
                      <a:off x="0" y="0"/>
                      <a:ext cx="4271552" cy="7858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C722F" w:rsidR="00F054E5" w:rsidP="008F5B9F" w:rsidRDefault="00F054E5" w14:paraId="32D1CC8E" w14:textId="77777777">
      <w:pPr>
        <w:pStyle w:val="BodySciensano"/>
        <w:rPr>
          <w:lang w:val="en-US"/>
        </w:rPr>
      </w:pPr>
    </w:p>
    <w:sectPr w:rsidRPr="00DC722F" w:rsidR="00F054E5" w:rsidSect="008F5B9F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362ED" w:rsidR="00E7121D" w:rsidP="00035449" w:rsidRDefault="00E7121D" w14:paraId="55D2222D" w14:textId="77777777">
      <w:pPr>
        <w:spacing w:line="14" w:lineRule="auto"/>
        <w:rPr>
          <w:lang w:val="nl-NL"/>
        </w:rPr>
      </w:pPr>
    </w:p>
  </w:endnote>
  <w:endnote w:type="continuationSeparator" w:id="0">
    <w:p w:rsidRPr="0043189D" w:rsidR="00E7121D" w:rsidP="00035449" w:rsidRDefault="00E7121D" w14:paraId="3D6E6663" w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121D" w:rsidP="00300B6C" w:rsidRDefault="00E7121D" w14:paraId="07E49BC7" w14:textId="77777777">
      <w:pPr>
        <w:spacing w:line="240" w:lineRule="auto"/>
      </w:pPr>
      <w:r>
        <w:separator/>
      </w:r>
    </w:p>
  </w:footnote>
  <w:footnote w:type="continuationSeparator" w:id="0">
    <w:p w:rsidR="00E7121D" w:rsidP="00300B6C" w:rsidRDefault="00E7121D" w14:paraId="696C6289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5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2F5B9E"/>
    <w:multiLevelType w:val="multilevel"/>
    <w:tmpl w:val="F2F420E0"/>
    <w:numStyleLink w:val="ScienscanoListNumbers"/>
  </w:abstractNum>
  <w:abstractNum w:abstractNumId="7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46DB0"/>
    <w:multiLevelType w:val="multilevel"/>
    <w:tmpl w:val="F2F420E0"/>
    <w:numStyleLink w:val="ScienscanoListNumbers"/>
  </w:abstractNum>
  <w:abstractNum w:abstractNumId="10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736AB"/>
    <w:multiLevelType w:val="multilevel"/>
    <w:tmpl w:val="F2F420E0"/>
    <w:numStyleLink w:val="ScienscanoListNumbers"/>
  </w:abstractNum>
  <w:abstractNum w:abstractNumId="14" w15:restartNumberingAfterBreak="0">
    <w:nsid w:val="6F851D86"/>
    <w:multiLevelType w:val="multilevel"/>
    <w:tmpl w:val="F2F420E0"/>
    <w:numStyleLink w:val="ScienscanoListNumbers"/>
  </w:abstractNum>
  <w:abstractNum w:abstractNumId="15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75A80DC9"/>
    <w:multiLevelType w:val="multilevel"/>
    <w:tmpl w:val="97C008F8"/>
    <w:numStyleLink w:val="SciensanoListBullets"/>
  </w:abstractNum>
  <w:abstractNum w:abstractNumId="17" w15:restartNumberingAfterBreak="0">
    <w:nsid w:val="7ACC4A42"/>
    <w:multiLevelType w:val="multilevel"/>
    <w:tmpl w:val="F2F420E0"/>
    <w:numStyleLink w:val="ScienscanoListNumbers"/>
  </w:abstractNum>
  <w:num w:numId="1">
    <w:abstractNumId w:val="5"/>
  </w:num>
  <w:num w:numId="2">
    <w:abstractNumId w:val="4"/>
  </w:num>
  <w:num w:numId="3">
    <w:abstractNumId w:val="10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17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  <w:num w:numId="15">
    <w:abstractNumId w:val="10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</w:num>
  <w:num w:numId="20">
    <w:abstractNumId w:val="8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B9F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5B9F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21D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0D4DD1EA"/>
    <w:rsid w:val="1C4D55CF"/>
    <w:rsid w:val="22BBFFB5"/>
    <w:rsid w:val="4EF0CF16"/>
    <w:rsid w:val="5802AEA7"/>
    <w:rsid w:val="62E2E362"/>
    <w:rsid w:val="6B2EF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BE389D3"/>
  <w15:chartTrackingRefBased/>
  <w15:docId w15:val="{1C0C2AE3-41A4-4AE0-8577-2D8218765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2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2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qFormat/>
    <w:rsid w:val="00E863A9"/>
    <w:rPr>
      <w:lang w:val="en-GB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ind w:left="357" w:hanging="357"/>
      <w:contextualSpacing/>
      <w:jc w:val="center"/>
      <w:outlineLvl w:val="0"/>
    </w:pPr>
    <w:rPr>
      <w:rFonts w:eastAsiaTheme="majorEastAsia" w:cstheme="majorBidi"/>
      <w:b/>
      <w:bCs/>
      <w:caps/>
      <w:color w:val="3AAA35"/>
      <w:spacing w:val="20"/>
      <w:sz w:val="40"/>
      <w:szCs w:val="28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eastAsiaTheme="majorEastAsia" w:cstheme="majorBidi"/>
      <w:b/>
      <w:bCs/>
      <w:color w:val="BCCF00"/>
      <w:spacing w:val="20"/>
      <w:sz w:val="36"/>
      <w:szCs w:val="26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/>
      <w:contextualSpacing/>
      <w:outlineLvl w:val="2"/>
    </w:pPr>
    <w:rPr>
      <w:rFonts w:eastAsiaTheme="majorEastAsia" w:cstheme="majorBidi"/>
      <w:b/>
      <w:bCs/>
      <w:caps/>
      <w:color w:val="3AAA35"/>
      <w:sz w:val="22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/>
      <w:contextualSpacing/>
      <w:outlineLvl w:val="3"/>
    </w:pPr>
    <w:rPr>
      <w:rFonts w:eastAsiaTheme="majorEastAsia" w:cstheme="majorBidi"/>
      <w:b/>
      <w:bCs/>
      <w:iCs/>
      <w:color w:val="BCCF00"/>
      <w:sz w:val="22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/>
      <w:contextualSpacing/>
      <w:outlineLvl w:val="4"/>
    </w:pPr>
    <w:rPr>
      <w:rFonts w:eastAsiaTheme="majorEastAsia" w:cstheme="majorBidi"/>
      <w:b/>
      <w:color w:val="006633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/>
      <w:jc w:val="left"/>
      <w:outlineLvl w:val="5"/>
    </w:pPr>
    <w:rPr>
      <w:rFonts w:asciiTheme="minorHAnsi" w:hAnsiTheme="minorHAnsi" w:eastAsiaTheme="majorEastAsia" w:cstheme="majorBidi"/>
      <w:b/>
      <w:iCs/>
      <w:color w:val="39B54A"/>
      <w:sz w:val="32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/>
      <w:jc w:val="left"/>
      <w:outlineLvl w:val="6"/>
    </w:pPr>
    <w:rPr>
      <w:rFonts w:asciiTheme="minorHAnsi" w:hAnsiTheme="minorHAnsi" w:eastAsiaTheme="majorEastAsia" w:cstheme="majorBidi"/>
      <w:b/>
      <w:iCs/>
      <w:smallCaps/>
      <w:color w:val="39B54A"/>
      <w:sz w:val="28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/>
      <w:jc w:val="left"/>
      <w:outlineLvl w:val="7"/>
    </w:pPr>
    <w:rPr>
      <w:rFonts w:asciiTheme="minorHAnsi" w:hAnsiTheme="minorHAnsi" w:eastAsiaTheme="majorEastAsia" w:cstheme="majorBidi"/>
      <w:b/>
      <w:color w:val="B2D235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line="240" w:lineRule="auto"/>
      <w:contextual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contextualSpacing/>
    </w:p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contextualSpacing/>
    </w:pPr>
    <w:rPr>
      <w:b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contextualSpacing/>
    </w:pPr>
    <w:rPr>
      <w:b/>
      <w:bCs/>
      <w:color w:val="3AAA35"/>
      <w:szCs w:val="18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18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18"/>
    <w:rsid w:val="00D2082B"/>
    <w:pPr>
      <w:suppressAutoHyphens/>
      <w:spacing w:line="240" w:lineRule="auto"/>
      <w:contextualSpacing/>
    </w:pPr>
    <w:rPr>
      <w:sz w:val="17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18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/>
      <w:contextualSpacing/>
      <w:jc w:val="center"/>
    </w:pPr>
    <w:rPr>
      <w:b/>
      <w:caps/>
      <w:color w:val="BCCF00"/>
      <w:sz w:val="36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ind w:left="363" w:hanging="363"/>
    </w:p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ind w:left="505" w:hanging="363"/>
    </w:p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contextualSpacing/>
    </w:p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</w:p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</w:p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</w:pPr>
  </w:style>
  <w:style w:type="paragraph" w:styleId="ListParagraph">
    <w:name w:val="List Paragraph"/>
    <w:basedOn w:val="Normal"/>
    <w:uiPriority w:val="34"/>
    <w:qFormat/>
    <w:rsid w:val="009B622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B4A3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</w:p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line="240" w:lineRule="auto"/>
      <w:contextualSpacing/>
    </w:pPr>
    <w:rPr>
      <w:b/>
      <w:color w:val="A5A5A5" w:themeColor="background1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ind w:right="567"/>
      <w:contextualSpacing/>
    </w:pPr>
    <w:rPr>
      <w:sz w:val="18"/>
    </w:rPr>
  </w:style>
  <w:style w:type="paragraph" w:styleId="Title">
    <w:name w:val="Title"/>
    <w:basedOn w:val="Normal"/>
    <w:next w:val="Normal"/>
    <w:link w:val="TitleChar"/>
    <w:uiPriority w:val="19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9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right="454"/>
      <w:contextualSpacing/>
    </w:pPr>
    <w:rPr>
      <w:b/>
      <w:caps/>
      <w:color w:val="3AAA35"/>
      <w:sz w:val="18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/>
      <w:ind w:left="170" w:right="454"/>
      <w:contextualSpacing/>
    </w:pPr>
    <w:rPr>
      <w:b/>
      <w:noProof/>
      <w:sz w:val="18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left="340" w:right="454"/>
      <w:contextualSpacing/>
    </w:pPr>
    <w:rPr>
      <w:noProof/>
      <w:sz w:val="18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18"/>
    <w:rsid w:val="00370383"/>
    <w:pPr>
      <w:spacing w:line="240" w:lineRule="auto"/>
    </w:pPr>
    <w:rPr>
      <w:sz w:val="17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18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18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ind w:left="1152" w:right="1152"/>
    </w:pPr>
    <w:rPr>
      <w:rFonts w:eastAsiaTheme="minorEastAsia"/>
      <w:i/>
      <w:iCs/>
      <w:color w:val="3AAA3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901205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line="240" w:lineRule="auto"/>
    </w:pPr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line="240" w:lineRule="auto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line="240" w:lineRule="auto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/>
      <w:ind w:left="936" w:right="936"/>
    </w:pPr>
    <w:rPr>
      <w:b/>
      <w:bCs/>
      <w:i/>
      <w:iCs/>
      <w:color w:val="3AAA3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0120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0120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0120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01205"/>
    <w:pPr>
      <w:ind w:left="1415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/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rPr>
      <w:i/>
      <w:iCs/>
      <w:color w:val="58595B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/>
      <w:ind w:left="1760"/>
    </w:p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8F5B9F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F5B9F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F5B9F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F5B9F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F5B9F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F5B9F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F5B9F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8F5B9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8F5B9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8F5B9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8F5B9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8F5B9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8F5B9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8F5B9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8F5B9F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8F5B9F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8F5B9F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8F5B9F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8F5B9F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8F5B9F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8F5B9F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8F5B9F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F5B9F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F5B9F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F5B9F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F5B9F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F5B9F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F5B9F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8F5B9F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8F5B9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8F5B9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8F5B9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8F5B9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8F5B9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8F5B9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8F5B9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8F5B9F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F5B9F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8F5B9F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8F5B9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F5B9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F5B9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F5B9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F5B9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F5B9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F5B9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F5B9F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8F5B9F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8F5B9F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8F5B9F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F5B9F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8F5B9F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8F5B9F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8F5B9F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F5B9F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F5B9F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F5B9F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F5B9F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F5B9F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F5B9F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8F5B9F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8F5B9F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8F5B9F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8F5B9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F5B9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8F5B9F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8F5B9F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8F5B9F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8F5B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5B9F"/>
    <w:rPr>
      <w:color w:val="605E5C"/>
      <w:shd w:val="clear" w:color="auto" w:fill="E1DFD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microsoft.com/office/2011/relationships/people" Target="peop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EB3B93-AE94-483B-8525-ED93F60F3128}"/>
</file>

<file path=customXml/itemProps3.xml><?xml version="1.0" encoding="utf-8"?>
<ds:datastoreItem xmlns:ds="http://schemas.openxmlformats.org/officeDocument/2006/customXml" ds:itemID="{82A76AF1-B640-4D3A-8191-B6BF90EFDA5F}"/>
</file>

<file path=customXml/itemProps4.xml><?xml version="1.0" encoding="utf-8"?>
<ds:datastoreItem xmlns:ds="http://schemas.openxmlformats.org/officeDocument/2006/customXml" ds:itemID="{5A7D8C43-260F-4540-A6D0-925C95D8B77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DELNORD, Marie</dc:creator>
  <keywords/>
  <dc:description/>
  <lastModifiedBy>KARA, Edna</lastModifiedBy>
  <revision>5</revision>
  <dcterms:created xsi:type="dcterms:W3CDTF">2025-09-20T21:40:00.0000000Z</dcterms:created>
  <dcterms:modified xsi:type="dcterms:W3CDTF">2025-10-23T08:47:32.0747355Z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